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color="000000" w:space="7" w:sz="0" w:val="none"/>
        </w:pBdr>
        <w:spacing w:line="240" w:lineRule="auto"/>
        <w:rPr>
          <w:color w:val="000000"/>
          <w:sz w:val="24"/>
          <w:szCs w:val="24"/>
        </w:rPr>
      </w:pPr>
      <w:r w:rsidDel="00000000" w:rsidR="00000000" w:rsidRPr="00000000">
        <w:rPr>
          <w:b w:val="1"/>
          <w:color w:val="000000"/>
          <w:sz w:val="24"/>
          <w:szCs w:val="24"/>
          <w:rtl w:val="0"/>
        </w:rPr>
        <w:t xml:space="preserve">Conference:</w:t>
      </w:r>
      <w:r w:rsidDel="00000000" w:rsidR="00000000" w:rsidRPr="00000000">
        <w:rPr>
          <w:color w:val="000000"/>
          <w:sz w:val="24"/>
          <w:szCs w:val="24"/>
          <w:rtl w:val="0"/>
        </w:rPr>
        <w:t xml:space="preserve"> Conference on Retroviruses and Opportunistic Infections (CROI) </w:t>
      </w:r>
    </w:p>
    <w:p w:rsidR="00000000" w:rsidDel="00000000" w:rsidP="00000000" w:rsidRDefault="00000000" w:rsidRPr="00000000" w14:paraId="00000002">
      <w:pPr>
        <w:widowControl w:val="0"/>
        <w:pBdr>
          <w:top w:color="000000" w:space="7" w:sz="0" w:val="none"/>
        </w:pBdr>
        <w:spacing w:line="240" w:lineRule="auto"/>
        <w:rPr>
          <w:color w:val="000000"/>
          <w:sz w:val="24"/>
          <w:szCs w:val="24"/>
        </w:rPr>
      </w:pPr>
      <w:r w:rsidDel="00000000" w:rsidR="00000000" w:rsidRPr="00000000">
        <w:rPr>
          <w:b w:val="1"/>
          <w:color w:val="000000"/>
          <w:sz w:val="24"/>
          <w:szCs w:val="24"/>
          <w:rtl w:val="0"/>
        </w:rPr>
        <w:t xml:space="preserve">Location:</w:t>
      </w:r>
      <w:r w:rsidDel="00000000" w:rsidR="00000000" w:rsidRPr="00000000">
        <w:rPr>
          <w:color w:val="000000"/>
          <w:sz w:val="24"/>
          <w:szCs w:val="24"/>
          <w:rtl w:val="0"/>
        </w:rPr>
        <w:t xml:space="preserve"> Denver, Colorado</w:t>
      </w:r>
    </w:p>
    <w:p w:rsidR="00000000" w:rsidDel="00000000" w:rsidP="00000000" w:rsidRDefault="00000000" w:rsidRPr="00000000" w14:paraId="00000003">
      <w:pPr>
        <w:widowControl w:val="0"/>
        <w:pBdr>
          <w:top w:color="000000" w:space="7" w:sz="0" w:val="none"/>
        </w:pBdr>
        <w:spacing w:line="240" w:lineRule="auto"/>
        <w:rPr>
          <w:color w:val="000000"/>
          <w:sz w:val="24"/>
          <w:szCs w:val="24"/>
        </w:rPr>
      </w:pPr>
      <w:r w:rsidDel="00000000" w:rsidR="00000000" w:rsidRPr="00000000">
        <w:rPr>
          <w:b w:val="1"/>
          <w:color w:val="000000"/>
          <w:sz w:val="24"/>
          <w:szCs w:val="24"/>
          <w:rtl w:val="0"/>
        </w:rPr>
        <w:t xml:space="preserve">Dates:</w:t>
      </w:r>
      <w:r w:rsidDel="00000000" w:rsidR="00000000" w:rsidRPr="00000000">
        <w:rPr>
          <w:color w:val="000000"/>
          <w:sz w:val="24"/>
          <w:szCs w:val="24"/>
          <w:rtl w:val="0"/>
        </w:rPr>
        <w:t xml:space="preserve"> 3/3/2023-3/6/2024</w:t>
      </w:r>
    </w:p>
    <w:p w:rsidR="00000000" w:rsidDel="00000000" w:rsidP="00000000" w:rsidRDefault="00000000" w:rsidRPr="00000000" w14:paraId="00000004">
      <w:pPr>
        <w:widowControl w:val="0"/>
        <w:pBdr>
          <w:top w:color="000000" w:space="7" w:sz="0" w:val="none"/>
        </w:pBdr>
        <w:spacing w:line="240" w:lineRule="auto"/>
        <w:rPr>
          <w:color w:val="000000"/>
          <w:sz w:val="24"/>
          <w:szCs w:val="24"/>
        </w:rPr>
      </w:pPr>
      <w:r w:rsidDel="00000000" w:rsidR="00000000" w:rsidRPr="00000000">
        <w:rPr>
          <w:b w:val="1"/>
          <w:color w:val="000000"/>
          <w:sz w:val="24"/>
          <w:szCs w:val="24"/>
          <w:rtl w:val="0"/>
        </w:rPr>
        <w:t xml:space="preserve">Deadline: </w:t>
      </w:r>
      <w:r w:rsidDel="00000000" w:rsidR="00000000" w:rsidRPr="00000000">
        <w:rPr>
          <w:color w:val="000000"/>
          <w:sz w:val="24"/>
          <w:szCs w:val="24"/>
          <w:rtl w:val="0"/>
        </w:rPr>
        <w:t xml:space="preserve">9/27/2023</w:t>
      </w:r>
    </w:p>
    <w:p w:rsidR="00000000" w:rsidDel="00000000" w:rsidP="00000000" w:rsidRDefault="00000000" w:rsidRPr="00000000" w14:paraId="00000005">
      <w:pPr>
        <w:widowControl w:val="0"/>
        <w:pBdr>
          <w:top w:color="000000" w:space="7" w:sz="0" w:val="none"/>
        </w:pBdr>
        <w:spacing w:line="240" w:lineRule="auto"/>
        <w:rPr>
          <w:color w:val="000000"/>
          <w:sz w:val="24"/>
          <w:szCs w:val="24"/>
        </w:rPr>
      </w:pPr>
      <w:r w:rsidDel="00000000" w:rsidR="00000000" w:rsidRPr="00000000">
        <w:rPr>
          <w:rtl w:val="0"/>
        </w:rPr>
      </w:r>
    </w:p>
    <w:p w:rsidR="00000000" w:rsidDel="00000000" w:rsidP="00000000" w:rsidRDefault="00000000" w:rsidRPr="00000000" w14:paraId="00000006">
      <w:pPr>
        <w:widowControl w:val="0"/>
        <w:pBdr>
          <w:top w:color="000000" w:space="7" w:sz="0" w:val="none"/>
        </w:pBdr>
        <w:spacing w:line="240" w:lineRule="auto"/>
        <w:rPr>
          <w:color w:val="000000"/>
          <w:sz w:val="24"/>
          <w:szCs w:val="24"/>
        </w:rPr>
      </w:pPr>
      <w:r w:rsidDel="00000000" w:rsidR="00000000" w:rsidRPr="00000000">
        <w:rPr>
          <w:b w:val="1"/>
          <w:color w:val="000000"/>
          <w:sz w:val="24"/>
          <w:szCs w:val="24"/>
          <w:rtl w:val="0"/>
        </w:rPr>
        <w:t xml:space="preserve">Title (max. 100 characters -- 95): Using County Notification Data To Characterize Recently Reported Hepatitis C Cases, Los Angeles</w:t>
      </w:r>
      <w:r w:rsidDel="00000000" w:rsidR="00000000" w:rsidRPr="00000000">
        <w:rPr>
          <w:rtl w:val="0"/>
        </w:rPr>
      </w:r>
    </w:p>
    <w:p w:rsidR="00000000" w:rsidDel="00000000" w:rsidP="00000000" w:rsidRDefault="00000000" w:rsidRPr="00000000" w14:paraId="00000007">
      <w:pPr>
        <w:widowControl w:val="0"/>
        <w:pBdr>
          <w:top w:color="000000" w:space="7" w:sz="0" w:val="none"/>
        </w:pBdr>
        <w:spacing w:line="240" w:lineRule="auto"/>
        <w:rPr>
          <w:color w:val="000000"/>
          <w:sz w:val="24"/>
          <w:szCs w:val="24"/>
        </w:rPr>
      </w:pPr>
      <w:r w:rsidDel="00000000" w:rsidR="00000000" w:rsidRPr="00000000">
        <w:rPr>
          <w:b w:val="1"/>
          <w:color w:val="000000"/>
          <w:sz w:val="24"/>
          <w:szCs w:val="24"/>
          <w:rtl w:val="0"/>
        </w:rPr>
        <w:t xml:space="preserve">Authors: </w:t>
      </w:r>
      <w:r w:rsidDel="00000000" w:rsidR="00000000" w:rsidRPr="00000000">
        <w:rPr>
          <w:color w:val="000000"/>
          <w:sz w:val="24"/>
          <w:szCs w:val="24"/>
          <w:rtl w:val="0"/>
        </w:rPr>
        <w:t xml:space="preserve">Cassidy Hernandez-Tamayo</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Lokesh Bhardwaj</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Riya Shah</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Chrysovalantis Stafylis</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Sabrina Navarro</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Arjun Vij</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Bijan Hosseini</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Dara Bruce</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Immanuel Thomas</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Natalie Saremi</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Jacob Gizamba</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Gilbert Orta Portillo</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Tatiana Becerra</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Nathan Sudeep</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Krzel Manansala-Tan</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Roopkamal Saini</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Alison Li</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Yara Tapia</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Sofia Ufret-Rivera</w:t>
      </w:r>
      <w:r w:rsidDel="00000000" w:rsidR="00000000" w:rsidRPr="00000000">
        <w:rPr>
          <w:color w:val="000000"/>
          <w:sz w:val="24"/>
          <w:szCs w:val="24"/>
          <w:vertAlign w:val="superscript"/>
          <w:rtl w:val="0"/>
        </w:rPr>
        <w:t xml:space="preserve">1</w:t>
      </w:r>
      <w:r w:rsidDel="00000000" w:rsidR="00000000" w:rsidRPr="00000000">
        <w:rPr>
          <w:color w:val="000000"/>
          <w:sz w:val="24"/>
          <w:szCs w:val="24"/>
          <w:rtl w:val="0"/>
        </w:rPr>
        <w:t xml:space="preserve">, Prabhu Gounder</w:t>
      </w:r>
      <w:r w:rsidDel="00000000" w:rsidR="00000000" w:rsidRPr="00000000">
        <w:rPr>
          <w:color w:val="000000"/>
          <w:sz w:val="24"/>
          <w:szCs w:val="24"/>
          <w:vertAlign w:val="superscript"/>
          <w:rtl w:val="0"/>
        </w:rPr>
        <w:t xml:space="preserve">2</w:t>
      </w:r>
      <w:r w:rsidDel="00000000" w:rsidR="00000000" w:rsidRPr="00000000">
        <w:rPr>
          <w:color w:val="000000"/>
          <w:sz w:val="24"/>
          <w:szCs w:val="24"/>
          <w:rtl w:val="0"/>
        </w:rPr>
        <w:t xml:space="preserve">, Mirna Ponce Jewell</w:t>
      </w:r>
      <w:r w:rsidDel="00000000" w:rsidR="00000000" w:rsidRPr="00000000">
        <w:rPr>
          <w:color w:val="000000"/>
          <w:sz w:val="24"/>
          <w:szCs w:val="24"/>
          <w:vertAlign w:val="superscript"/>
          <w:rtl w:val="0"/>
        </w:rPr>
        <w:t xml:space="preserve">2</w:t>
      </w:r>
      <w:r w:rsidDel="00000000" w:rsidR="00000000" w:rsidRPr="00000000">
        <w:rPr>
          <w:color w:val="000000"/>
          <w:sz w:val="24"/>
          <w:szCs w:val="24"/>
          <w:rtl w:val="0"/>
        </w:rPr>
        <w:t xml:space="preserve">, Jeffrey D Klausner</w:t>
      </w:r>
      <w:r w:rsidDel="00000000" w:rsidR="00000000" w:rsidRPr="00000000">
        <w:rPr>
          <w:color w:val="000000"/>
          <w:sz w:val="24"/>
          <w:szCs w:val="24"/>
          <w:vertAlign w:val="superscript"/>
          <w:rtl w:val="0"/>
        </w:rPr>
        <w:t xml:space="preserve">1</w:t>
      </w:r>
      <w:r w:rsidDel="00000000" w:rsidR="00000000" w:rsidRPr="00000000">
        <w:rPr>
          <w:rtl w:val="0"/>
        </w:rPr>
      </w:r>
    </w:p>
    <w:p w:rsidR="00000000" w:rsidDel="00000000" w:rsidP="00000000" w:rsidRDefault="00000000" w:rsidRPr="00000000" w14:paraId="00000008">
      <w:pPr>
        <w:widowControl w:val="0"/>
        <w:pBdr>
          <w:top w:color="000000" w:space="7" w:sz="0" w:val="none"/>
        </w:pBdr>
        <w:spacing w:line="240" w:lineRule="auto"/>
        <w:rPr>
          <w:b w:val="1"/>
          <w:color w:val="000000"/>
          <w:sz w:val="24"/>
          <w:szCs w:val="24"/>
        </w:rPr>
      </w:pPr>
      <w:r w:rsidDel="00000000" w:rsidR="00000000" w:rsidRPr="00000000">
        <w:rPr>
          <w:b w:val="1"/>
          <w:color w:val="000000"/>
          <w:sz w:val="24"/>
          <w:szCs w:val="24"/>
          <w:rtl w:val="0"/>
        </w:rPr>
        <w:t xml:space="preserve">Affiliations</w:t>
      </w:r>
    </w:p>
    <w:p w:rsidR="00000000" w:rsidDel="00000000" w:rsidP="00000000" w:rsidRDefault="00000000" w:rsidRPr="00000000" w14:paraId="00000009">
      <w:pPr>
        <w:widowControl w:val="0"/>
        <w:spacing w:line="240" w:lineRule="auto"/>
        <w:rPr>
          <w:color w:val="000000"/>
          <w:sz w:val="24"/>
          <w:szCs w:val="24"/>
        </w:rPr>
      </w:pPr>
      <w:r w:rsidDel="00000000" w:rsidR="00000000" w:rsidRPr="00000000">
        <w:rPr>
          <w:color w:val="000000"/>
          <w:sz w:val="24"/>
          <w:szCs w:val="24"/>
          <w:vertAlign w:val="superscript"/>
          <w:rtl w:val="0"/>
        </w:rPr>
        <w:t xml:space="preserve">1 </w:t>
      </w:r>
      <w:r w:rsidDel="00000000" w:rsidR="00000000" w:rsidRPr="00000000">
        <w:rPr>
          <w:color w:val="000000"/>
          <w:sz w:val="24"/>
          <w:szCs w:val="24"/>
          <w:rtl w:val="0"/>
        </w:rPr>
        <w:t xml:space="preserve">Department of Population and Public Health Sciences, University of Southern California, Los Angeles</w:t>
      </w:r>
    </w:p>
    <w:p w:rsidR="00000000" w:rsidDel="00000000" w:rsidP="00000000" w:rsidRDefault="00000000" w:rsidRPr="00000000" w14:paraId="0000000A">
      <w:pPr>
        <w:widowControl w:val="0"/>
        <w:spacing w:line="240" w:lineRule="auto"/>
        <w:rPr>
          <w:color w:val="000000"/>
          <w:sz w:val="24"/>
          <w:szCs w:val="24"/>
        </w:rPr>
      </w:pPr>
      <w:r w:rsidDel="00000000" w:rsidR="00000000" w:rsidRPr="00000000">
        <w:rPr>
          <w:color w:val="000000"/>
          <w:sz w:val="24"/>
          <w:szCs w:val="24"/>
          <w:vertAlign w:val="superscript"/>
          <w:rtl w:val="0"/>
        </w:rPr>
        <w:t xml:space="preserve">2 </w:t>
      </w:r>
      <w:r w:rsidDel="00000000" w:rsidR="00000000" w:rsidRPr="00000000">
        <w:rPr>
          <w:color w:val="000000"/>
          <w:sz w:val="24"/>
          <w:szCs w:val="24"/>
          <w:rtl w:val="0"/>
        </w:rPr>
        <w:t xml:space="preserve">Los Angeles County Department of Public Health, Acute Communicable Disease Control, Viral Hepatitis Unit, Los Angeles</w:t>
      </w:r>
    </w:p>
    <w:p w:rsidR="00000000" w:rsidDel="00000000" w:rsidP="00000000" w:rsidRDefault="00000000" w:rsidRPr="00000000" w14:paraId="0000000B">
      <w:pPr>
        <w:widowControl w:val="0"/>
        <w:pBdr>
          <w:top w:color="000000" w:space="7" w:sz="0" w:val="none"/>
        </w:pBdr>
        <w:spacing w:line="240" w:lineRule="auto"/>
        <w:rPr>
          <w:color w:val="000000"/>
          <w:sz w:val="24"/>
          <w:szCs w:val="24"/>
        </w:rPr>
      </w:pPr>
      <w:r w:rsidDel="00000000" w:rsidR="00000000" w:rsidRPr="00000000">
        <w:rPr>
          <w:b w:val="1"/>
          <w:color w:val="000000"/>
          <w:sz w:val="24"/>
          <w:szCs w:val="24"/>
          <w:rtl w:val="0"/>
        </w:rPr>
        <w:t xml:space="preserve">Character count: </w:t>
      </w:r>
      <w:r w:rsidDel="00000000" w:rsidR="00000000" w:rsidRPr="00000000">
        <w:rPr>
          <w:color w:val="000000"/>
          <w:sz w:val="24"/>
          <w:szCs w:val="24"/>
          <w:rtl w:val="0"/>
        </w:rPr>
        <w:t xml:space="preserve">maximum 2500 characters, including spaces and formatting tags, 1 paragraph per section</w:t>
      </w:r>
    </w:p>
    <w:p w:rsidR="00000000" w:rsidDel="00000000" w:rsidP="00000000" w:rsidRDefault="00000000" w:rsidRPr="00000000" w14:paraId="0000000C">
      <w:pPr>
        <w:widowControl w:val="0"/>
        <w:pBdr>
          <w:top w:color="000000" w:space="7" w:sz="0" w:val="none"/>
        </w:pBdr>
        <w:spacing w:line="240" w:lineRule="auto"/>
        <w:rPr>
          <w:color w:val="000000"/>
          <w:sz w:val="24"/>
          <w:szCs w:val="24"/>
        </w:rPr>
      </w:pPr>
      <w:r w:rsidDel="00000000" w:rsidR="00000000" w:rsidRPr="00000000">
        <w:rPr>
          <w:rtl w:val="0"/>
        </w:rPr>
      </w:r>
    </w:p>
    <w:p w:rsidR="00000000" w:rsidDel="00000000" w:rsidP="00000000" w:rsidRDefault="00000000" w:rsidRPr="00000000" w14:paraId="0000000D">
      <w:pPr>
        <w:pStyle w:val="Heading5"/>
        <w:keepNext w:val="0"/>
        <w:keepLines w:val="0"/>
        <w:widowControl w:val="0"/>
        <w:spacing w:after="0" w:before="0" w:line="240" w:lineRule="auto"/>
        <w:rPr>
          <w:color w:val="000000"/>
          <w:sz w:val="24"/>
          <w:szCs w:val="24"/>
        </w:rPr>
      </w:pPr>
      <w:bookmarkStart w:colFirst="0" w:colLast="0" w:name="_heading=h.f0ovk8bmuaat" w:id="0"/>
      <w:bookmarkEnd w:id="0"/>
      <w:r w:rsidDel="00000000" w:rsidR="00000000" w:rsidRPr="00000000">
        <w:rPr>
          <w:b w:val="1"/>
          <w:color w:val="000000"/>
          <w:sz w:val="24"/>
          <w:szCs w:val="24"/>
          <w:rtl w:val="0"/>
        </w:rPr>
        <w:t xml:space="preserve">Background</w:t>
      </w:r>
      <w:r w:rsidDel="00000000" w:rsidR="00000000" w:rsidRPr="00000000">
        <w:rPr>
          <w:rtl w:val="0"/>
        </w:rPr>
      </w:r>
    </w:p>
    <w:p w:rsidR="00000000" w:rsidDel="00000000" w:rsidP="00000000" w:rsidRDefault="00000000" w:rsidRPr="00000000" w14:paraId="0000000E">
      <w:pPr>
        <w:widowControl w:val="0"/>
        <w:spacing w:line="240" w:lineRule="auto"/>
        <w:rPr>
          <w:color w:val="000000"/>
          <w:sz w:val="24"/>
          <w:szCs w:val="24"/>
        </w:rPr>
      </w:pPr>
      <w:r w:rsidDel="00000000" w:rsidR="00000000" w:rsidRPr="00000000">
        <w:rPr>
          <w:color w:val="000000"/>
          <w:sz w:val="24"/>
          <w:szCs w:val="24"/>
          <w:rtl w:val="0"/>
        </w:rPr>
        <w:t xml:space="preserve">Hepatitis C remains a public health problem with continued incidence and a high proportion of individuals either unaware of their infection or untreated. Using the Los Angeles County hepatitis C registry of notified cases, the University of Southern California and the Los Angeles County Department of Public Health established a novel HCV case-management program. We describe the characteristics of contacted cases and the frequency and correlates of treatment. </w:t>
      </w:r>
    </w:p>
    <w:p w:rsidR="00000000" w:rsidDel="00000000" w:rsidP="00000000" w:rsidRDefault="00000000" w:rsidRPr="00000000" w14:paraId="0000000F">
      <w:pPr>
        <w:widowControl w:val="0"/>
        <w:spacing w:line="240" w:lineRule="auto"/>
        <w:rPr>
          <w:color w:val="000000"/>
          <w:sz w:val="24"/>
          <w:szCs w:val="24"/>
        </w:rPr>
      </w:pPr>
      <w:r w:rsidDel="00000000" w:rsidR="00000000" w:rsidRPr="00000000">
        <w:rPr>
          <w:rtl w:val="0"/>
        </w:rPr>
      </w:r>
    </w:p>
    <w:p w:rsidR="00000000" w:rsidDel="00000000" w:rsidP="00000000" w:rsidRDefault="00000000" w:rsidRPr="00000000" w14:paraId="00000010">
      <w:pPr>
        <w:spacing w:line="240" w:lineRule="auto"/>
        <w:rPr>
          <w:color w:val="000000"/>
          <w:sz w:val="24"/>
          <w:szCs w:val="24"/>
        </w:rPr>
      </w:pPr>
      <w:bookmarkStart w:colFirst="0" w:colLast="0" w:name="_heading=h.2vx6oq7h6u4h" w:id="1"/>
      <w:bookmarkEnd w:id="1"/>
      <w:r w:rsidDel="00000000" w:rsidR="00000000" w:rsidRPr="00000000">
        <w:rPr>
          <w:b w:val="1"/>
          <w:color w:val="000000"/>
          <w:sz w:val="24"/>
          <w:szCs w:val="24"/>
          <w:rtl w:val="0"/>
        </w:rPr>
        <w:t xml:space="preserve">Methods</w:t>
      </w:r>
      <w:r w:rsidDel="00000000" w:rsidR="00000000" w:rsidRPr="00000000">
        <w:rPr>
          <w:rtl w:val="0"/>
        </w:rPr>
      </w:r>
    </w:p>
    <w:p w:rsidR="00000000" w:rsidDel="00000000" w:rsidP="00000000" w:rsidRDefault="00000000" w:rsidRPr="00000000" w14:paraId="00000011">
      <w:pPr>
        <w:pStyle w:val="Heading5"/>
        <w:keepNext w:val="0"/>
        <w:keepLines w:val="0"/>
        <w:widowControl w:val="0"/>
        <w:spacing w:after="0" w:before="0" w:line="240" w:lineRule="auto"/>
        <w:rPr>
          <w:color w:val="000000"/>
          <w:sz w:val="24"/>
          <w:szCs w:val="24"/>
        </w:rPr>
      </w:pPr>
      <w:r w:rsidDel="00000000" w:rsidR="00000000" w:rsidRPr="00000000">
        <w:rPr>
          <w:color w:val="000000"/>
          <w:sz w:val="24"/>
          <w:szCs w:val="24"/>
          <w:rtl w:val="0"/>
        </w:rPr>
        <w:t xml:space="preserve">Volunteer study case-workers contacted Los Angeles County residents with a positive HCV RNA test result reported to the Department of Public Health between January 2021 and April 2022 to assess awareness of their infection status, verify treatment, and counsel untreated cases.  We evaluated bivariate associations of race/ethnicity, age, biological sex, insurance status (private, public (Medicare, Medical), and none), and symptomatic status (symptoms vs no symptoms) with treatment status (treated vs. untreated) using a Pearson’s Chi-Square Test. We created a multivariable logistic regression model to assess associations between demographic and clinical characteristics and treatment status.</w:t>
      </w:r>
    </w:p>
    <w:p w:rsidR="00000000" w:rsidDel="00000000" w:rsidP="00000000" w:rsidRDefault="00000000" w:rsidRPr="00000000" w14:paraId="00000012">
      <w:pPr>
        <w:widowControl w:val="0"/>
        <w:spacing w:line="240" w:lineRule="auto"/>
        <w:rPr>
          <w:color w:val="000000"/>
          <w:sz w:val="24"/>
          <w:szCs w:val="24"/>
        </w:rPr>
      </w:pPr>
      <w:r w:rsidDel="00000000" w:rsidR="00000000" w:rsidRPr="00000000">
        <w:rPr>
          <w:rtl w:val="0"/>
        </w:rPr>
      </w:r>
    </w:p>
    <w:p w:rsidR="00000000" w:rsidDel="00000000" w:rsidP="00000000" w:rsidRDefault="00000000" w:rsidRPr="00000000" w14:paraId="00000013">
      <w:pPr>
        <w:pStyle w:val="Heading5"/>
        <w:keepNext w:val="0"/>
        <w:keepLines w:val="0"/>
        <w:widowControl w:val="0"/>
        <w:spacing w:after="0" w:before="0" w:line="240" w:lineRule="auto"/>
        <w:rPr>
          <w:color w:val="000000"/>
          <w:sz w:val="24"/>
          <w:szCs w:val="24"/>
        </w:rPr>
      </w:pPr>
      <w:bookmarkStart w:colFirst="0" w:colLast="0" w:name="_heading=h.pgvnwuf8k6eb" w:id="2"/>
      <w:bookmarkEnd w:id="2"/>
      <w:r w:rsidDel="00000000" w:rsidR="00000000" w:rsidRPr="00000000">
        <w:rPr>
          <w:b w:val="1"/>
          <w:color w:val="000000"/>
          <w:sz w:val="24"/>
          <w:szCs w:val="24"/>
          <w:rtl w:val="0"/>
        </w:rPr>
        <w:t xml:space="preserve">Results</w:t>
      </w:r>
      <w:r w:rsidDel="00000000" w:rsidR="00000000" w:rsidRPr="00000000">
        <w:rPr>
          <w:rtl w:val="0"/>
        </w:rPr>
      </w:r>
    </w:p>
    <w:p w:rsidR="00000000" w:rsidDel="00000000" w:rsidP="00000000" w:rsidRDefault="00000000" w:rsidRPr="00000000" w14:paraId="00000014">
      <w:pPr>
        <w:widowControl w:val="0"/>
        <w:spacing w:line="240" w:lineRule="auto"/>
        <w:rPr>
          <w:color w:val="000000"/>
          <w:sz w:val="24"/>
          <w:szCs w:val="24"/>
        </w:rPr>
      </w:pPr>
      <w:r w:rsidDel="00000000" w:rsidR="00000000" w:rsidRPr="00000000">
        <w:rPr>
          <w:color w:val="000000"/>
          <w:sz w:val="24"/>
          <w:szCs w:val="24"/>
          <w:rtl w:val="0"/>
        </w:rPr>
        <w:t xml:space="preserve">Among 403 cases contacted, 227 (56%) had public insurance, 254 (63%) were male, 230 (57%) were 45+ years old, and 181 (45%) were Hispanic or Latino. Eighty-five percent were aware of their positive HCV result, yet 68% never received treatment. Untreated cases (N=295) were predominantly male (65%) and non-White (76%). No statistically significant differences between treatment status existed for race/ethnicity and sex. The multivariable logistic regression model showed public insurance status (v</w:t>
      </w:r>
      <w:r w:rsidDel="00000000" w:rsidR="00000000" w:rsidRPr="00000000">
        <w:rPr>
          <w:sz w:val="24"/>
          <w:szCs w:val="24"/>
          <w:rtl w:val="0"/>
        </w:rPr>
        <w:t xml:space="preserve">s</w:t>
      </w:r>
      <w:r w:rsidDel="00000000" w:rsidR="00000000" w:rsidRPr="00000000">
        <w:rPr>
          <w:color w:val="000000"/>
          <w:sz w:val="24"/>
          <w:szCs w:val="24"/>
          <w:rtl w:val="0"/>
        </w:rPr>
        <w:t xml:space="preserve"> private odds ratio [OR]: 0.56; 95% CI: 0.32, 0.98), older age group (</w:t>
      </w:r>
      <w:r w:rsidDel="00000000" w:rsidR="00000000" w:rsidRPr="00000000">
        <w:rPr>
          <w:sz w:val="24"/>
          <w:szCs w:val="24"/>
          <w:rtl w:val="0"/>
        </w:rPr>
        <w:t xml:space="preserve">vs</w:t>
      </w:r>
      <w:r w:rsidDel="00000000" w:rsidR="00000000" w:rsidRPr="00000000">
        <w:rPr>
          <w:color w:val="000000"/>
          <w:sz w:val="24"/>
          <w:szCs w:val="24"/>
          <w:rtl w:val="0"/>
        </w:rPr>
        <w:t xml:space="preserve"> young adults 18-29 years OR: 3.17, 95% CI: 1.23, 8.18), and the existence of symptoms (</w:t>
      </w:r>
      <w:r w:rsidDel="00000000" w:rsidR="00000000" w:rsidRPr="00000000">
        <w:rPr>
          <w:sz w:val="24"/>
          <w:szCs w:val="24"/>
          <w:rtl w:val="0"/>
        </w:rPr>
        <w:t xml:space="preserve">vs no symptoms </w:t>
      </w:r>
      <w:r w:rsidDel="00000000" w:rsidR="00000000" w:rsidRPr="00000000">
        <w:rPr>
          <w:color w:val="000000"/>
          <w:sz w:val="24"/>
          <w:szCs w:val="24"/>
          <w:rtl w:val="0"/>
        </w:rPr>
        <w:t xml:space="preserve">OR: 3.70; 95% CI: 2.15, 6.64) were associated with treatment.</w:t>
      </w:r>
    </w:p>
    <w:p w:rsidR="00000000" w:rsidDel="00000000" w:rsidP="00000000" w:rsidRDefault="00000000" w:rsidRPr="00000000" w14:paraId="00000015">
      <w:pPr>
        <w:widowControl w:val="0"/>
        <w:spacing w:line="240" w:lineRule="auto"/>
        <w:rPr>
          <w:color w:val="000000"/>
          <w:sz w:val="24"/>
          <w:szCs w:val="24"/>
        </w:rPr>
      </w:pPr>
      <w:r w:rsidDel="00000000" w:rsidR="00000000" w:rsidRPr="00000000">
        <w:rPr>
          <w:rtl w:val="0"/>
        </w:rPr>
      </w:r>
    </w:p>
    <w:p w:rsidR="00000000" w:rsidDel="00000000" w:rsidP="00000000" w:rsidRDefault="00000000" w:rsidRPr="00000000" w14:paraId="00000016">
      <w:pPr>
        <w:pStyle w:val="Heading5"/>
        <w:keepNext w:val="0"/>
        <w:keepLines w:val="0"/>
        <w:widowControl w:val="0"/>
        <w:spacing w:after="0" w:before="0" w:line="240" w:lineRule="auto"/>
        <w:rPr>
          <w:b w:val="1"/>
          <w:color w:val="000000"/>
          <w:sz w:val="24"/>
          <w:szCs w:val="24"/>
        </w:rPr>
      </w:pPr>
      <w:bookmarkStart w:colFirst="0" w:colLast="0" w:name="_heading=h.95jhn543h96i" w:id="3"/>
      <w:bookmarkEnd w:id="3"/>
      <w:r w:rsidDel="00000000" w:rsidR="00000000" w:rsidRPr="00000000">
        <w:rPr>
          <w:b w:val="1"/>
          <w:color w:val="000000"/>
          <w:sz w:val="24"/>
          <w:szCs w:val="24"/>
          <w:rtl w:val="0"/>
        </w:rPr>
        <w:t xml:space="preserve">Conclusions</w:t>
      </w:r>
    </w:p>
    <w:p w:rsidR="00000000" w:rsidDel="00000000" w:rsidP="00000000" w:rsidRDefault="00000000" w:rsidRPr="00000000" w14:paraId="00000017">
      <w:pPr>
        <w:spacing w:line="240" w:lineRule="auto"/>
        <w:rPr>
          <w:color w:val="000000"/>
          <w:sz w:val="24"/>
          <w:szCs w:val="24"/>
        </w:rPr>
      </w:pPr>
      <w:r w:rsidDel="00000000" w:rsidR="00000000" w:rsidRPr="00000000">
        <w:rPr>
          <w:color w:val="000000"/>
          <w:sz w:val="24"/>
          <w:szCs w:val="24"/>
          <w:rtl w:val="0"/>
        </w:rPr>
        <w:t xml:space="preserve">HCV case registry data can be used to inform people about their infection, assess treatment status and counsel untreated cases. Those publicly insured, younger, and asymptomatic were less likely to be treated. Local health departments should use case registry data to help accelerate HCV elimination efforts. </w:t>
      </w:r>
    </w:p>
    <w:p w:rsidR="00000000" w:rsidDel="00000000" w:rsidP="00000000" w:rsidRDefault="00000000" w:rsidRPr="00000000" w14:paraId="00000018">
      <w:pPr>
        <w:spacing w:line="240" w:lineRule="auto"/>
        <w:rPr>
          <w:color w:val="000000"/>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color w:val="000000"/>
          <w:sz w:val="24"/>
          <w:szCs w:val="24"/>
        </w:rPr>
      </w:pPr>
      <w:r w:rsidDel="00000000" w:rsidR="00000000" w:rsidRPr="00000000">
        <w:rPr>
          <w:sz w:val="24"/>
          <w:szCs w:val="24"/>
          <w:rtl w:val="0"/>
        </w:rPr>
        <w:t xml:space="preserve">2250</w:t>
      </w:r>
      <w:r w:rsidDel="00000000" w:rsidR="00000000" w:rsidRPr="00000000">
        <w:rPr>
          <w:color w:val="000000"/>
          <w:sz w:val="24"/>
          <w:szCs w:val="24"/>
          <w:rtl w:val="0"/>
        </w:rPr>
        <w:t xml:space="preserve">/2500</w:t>
      </w:r>
    </w:p>
    <w:p w:rsidR="00000000" w:rsidDel="00000000" w:rsidP="00000000" w:rsidRDefault="00000000" w:rsidRPr="00000000" w14:paraId="0000001A">
      <w:pPr>
        <w:widowControl w:val="0"/>
        <w:spacing w:line="240" w:lineRule="auto"/>
        <w:rPr>
          <w:b w:val="1"/>
          <w:color w:val="000000"/>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color w:val="000000"/>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E94892"/>
    <w:rPr>
      <w:b w:val="1"/>
      <w:bCs w:val="1"/>
    </w:rPr>
  </w:style>
  <w:style w:type="character" w:styleId="CommentSubjectChar" w:customStyle="1">
    <w:name w:val="Comment Subject Char"/>
    <w:basedOn w:val="CommentTextChar"/>
    <w:link w:val="CommentSubject"/>
    <w:uiPriority w:val="99"/>
    <w:semiHidden w:val="1"/>
    <w:rsid w:val="00E94892"/>
    <w:rPr>
      <w:b w:val="1"/>
      <w:bCs w:val="1"/>
      <w:sz w:val="20"/>
      <w:szCs w:val="20"/>
    </w:rPr>
  </w:style>
  <w:style w:type="paragraph" w:styleId="Revision">
    <w:name w:val="Revision"/>
    <w:hidden w:val="1"/>
    <w:uiPriority w:val="99"/>
    <w:semiHidden w:val="1"/>
    <w:rsid w:val="006341C7"/>
    <w:pPr>
      <w:spacing w:line="240" w:lineRule="auto"/>
    </w:pPr>
  </w:style>
  <w:style w:type="paragraph" w:styleId="Header">
    <w:name w:val="header"/>
    <w:basedOn w:val="Normal"/>
    <w:link w:val="HeaderChar"/>
    <w:uiPriority w:val="99"/>
    <w:unhideWhenUsed w:val="1"/>
    <w:rsid w:val="00F613BE"/>
    <w:pPr>
      <w:tabs>
        <w:tab w:val="center" w:pos="4680"/>
        <w:tab w:val="right" w:pos="9360"/>
      </w:tabs>
      <w:spacing w:line="240" w:lineRule="auto"/>
    </w:pPr>
  </w:style>
  <w:style w:type="character" w:styleId="HeaderChar" w:customStyle="1">
    <w:name w:val="Header Char"/>
    <w:basedOn w:val="DefaultParagraphFont"/>
    <w:link w:val="Header"/>
    <w:uiPriority w:val="99"/>
    <w:rsid w:val="00F613BE"/>
  </w:style>
  <w:style w:type="paragraph" w:styleId="Footer">
    <w:name w:val="footer"/>
    <w:basedOn w:val="Normal"/>
    <w:link w:val="FooterChar"/>
    <w:uiPriority w:val="99"/>
    <w:unhideWhenUsed w:val="1"/>
    <w:rsid w:val="00F613BE"/>
    <w:pPr>
      <w:tabs>
        <w:tab w:val="center" w:pos="4680"/>
        <w:tab w:val="right" w:pos="9360"/>
      </w:tabs>
      <w:spacing w:line="240" w:lineRule="auto"/>
    </w:pPr>
  </w:style>
  <w:style w:type="character" w:styleId="FooterChar" w:customStyle="1">
    <w:name w:val="Footer Char"/>
    <w:basedOn w:val="DefaultParagraphFont"/>
    <w:link w:val="Footer"/>
    <w:uiPriority w:val="99"/>
    <w:rsid w:val="00F613BE"/>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ZMsdnjhD6BXRbiynAum500mbvA==">CgMxLjAyDmguZjBvdms4Ym11YWF0Mg5oLjJ2eDZvcTdoNnU0aDIOaC5wZ3Zud3VmOGs2ZWIyDmguOTVqaG41NDNoOTZpOABqUQo1c3VnZ2VzdElkSW1wb3J0OWZiZmUwMzYtNTk0NC00MGY1LTlmNGMtYWU5MjUyZjdhZWJhXzUSGENhc3NpZHkgSGVybmFuZGV6LXRhbWF5b2pRCjVzdWdnZXN0SWRJbXBvcnQ5ZmJmZTAzNi01OTQ0LTQwZjUtOWY0Yy1hZTkyNTJmN2FlYmFfMRIYQ2Fzc2lkeSBIZXJuYW5kZXotdGFtYXlvakkKNXN1Z2dlc3RJZEltcG9ydDlmYmZlMDM2LTU5NDQtNDBmNS05ZjRjLWFlOTI1MmY3YWViYV8zEhBKZWZmcmV5IEtsYXVzbmVyciExY0dfS3kxS2hOUTFhZnFQSlNVTG5jRjktZkpVYjFHN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2023-09-22T06:34:00Z</dcterms:created>
  <dc:creator>Chrysovalantis Stafylis</dc:creator>
</cp:coreProperties>
</file>